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3B" w:rsidRPr="00864A7C" w:rsidRDefault="0050463B" w:rsidP="00602203">
      <w:pPr>
        <w:rPr>
          <w:rFonts w:cs="Arial"/>
          <w:b/>
          <w:color w:val="006FB2"/>
          <w:sz w:val="28"/>
          <w:szCs w:val="28"/>
        </w:rPr>
      </w:pPr>
      <w:bookmarkStart w:id="0" w:name="_GoBack"/>
      <w:bookmarkEnd w:id="0"/>
    </w:p>
    <w:p w:rsidR="0050463B" w:rsidRPr="00864A7C" w:rsidRDefault="0050463B" w:rsidP="00070846">
      <w:pPr>
        <w:jc w:val="right"/>
        <w:rPr>
          <w:rFonts w:cs="Arial"/>
          <w:b/>
          <w:color w:val="006FB2"/>
          <w:sz w:val="28"/>
          <w:szCs w:val="28"/>
        </w:rPr>
      </w:pPr>
      <w:r>
        <w:rPr>
          <w:rFonts w:cs="Arial"/>
          <w:b/>
          <w:color w:val="006FB2"/>
          <w:sz w:val="28"/>
          <w:szCs w:val="28"/>
        </w:rPr>
        <w:t>Annex 3</w:t>
      </w:r>
    </w:p>
    <w:p w:rsidR="0050463B" w:rsidRPr="00864A7C" w:rsidRDefault="0050463B" w:rsidP="00B841AD">
      <w:pPr>
        <w:jc w:val="center"/>
        <w:rPr>
          <w:b/>
          <w:bCs/>
          <w:color w:val="262B33"/>
          <w:shd w:val="clear" w:color="auto" w:fill="FFFFFF"/>
        </w:rPr>
      </w:pPr>
      <w:r w:rsidRPr="00864A7C">
        <w:rPr>
          <w:b/>
          <w:bCs/>
          <w:color w:val="262B33"/>
          <w:shd w:val="clear" w:color="auto" w:fill="FFFFFF"/>
        </w:rPr>
        <w:t xml:space="preserve">Evaluation </w:t>
      </w:r>
      <w:r>
        <w:rPr>
          <w:b/>
          <w:bCs/>
          <w:color w:val="262B33"/>
          <w:shd w:val="clear" w:color="auto" w:fill="FFFFFF"/>
        </w:rPr>
        <w:t>Report</w:t>
      </w:r>
    </w:p>
    <w:p w:rsidR="0050463B" w:rsidRPr="00292E0A" w:rsidRDefault="0050463B" w:rsidP="00292E0A">
      <w:pPr>
        <w:autoSpaceDE w:val="0"/>
        <w:autoSpaceDN w:val="0"/>
        <w:adjustRightInd w:val="0"/>
        <w:spacing w:after="0" w:line="240" w:lineRule="auto"/>
        <w:jc w:val="center"/>
        <w:rPr>
          <w:rFonts w:cs="Arial"/>
          <w:color w:val="000000"/>
          <w:sz w:val="24"/>
          <w:szCs w:val="24"/>
          <w:lang w:eastAsia="hu-HU"/>
        </w:rPr>
      </w:pPr>
      <w:r w:rsidRPr="00292E0A">
        <w:rPr>
          <w:rFonts w:cs="Arial"/>
          <w:b/>
          <w:bCs/>
          <w:color w:val="000000"/>
          <w:sz w:val="24"/>
          <w:szCs w:val="24"/>
          <w:lang w:eastAsia="hu-HU"/>
        </w:rPr>
        <w:t>Quality Assurance Consultation workshop</w:t>
      </w:r>
    </w:p>
    <w:p w:rsidR="0050463B" w:rsidRPr="00864A7C" w:rsidRDefault="0050463B" w:rsidP="001F5A6E">
      <w:pPr>
        <w:jc w:val="center"/>
        <w:rPr>
          <w:b/>
          <w:bCs/>
          <w:color w:val="262B33"/>
          <w:shd w:val="clear" w:color="auto" w:fill="FFFFFF"/>
        </w:rPr>
      </w:pPr>
      <w:smartTag w:uri="urn:schemas-microsoft-com:office:smarttags" w:element="City">
        <w:smartTag w:uri="urn:schemas-microsoft-com:office:smarttags" w:element="place">
          <w:r w:rsidRPr="00864A7C">
            <w:rPr>
              <w:b/>
              <w:bCs/>
              <w:color w:val="262B33"/>
              <w:shd w:val="clear" w:color="auto" w:fill="FFFFFF"/>
            </w:rPr>
            <w:t>Tashkent</w:t>
          </w:r>
        </w:smartTag>
      </w:smartTag>
      <w:r w:rsidRPr="00864A7C">
        <w:rPr>
          <w:b/>
          <w:bCs/>
          <w:color w:val="262B33"/>
          <w:shd w:val="clear" w:color="auto" w:fill="FFFFFF"/>
        </w:rPr>
        <w:t>, 5 – 6, February 2018.</w:t>
      </w:r>
    </w:p>
    <w:p w:rsidR="0050463B" w:rsidRPr="00864A7C" w:rsidRDefault="0050463B" w:rsidP="00292E0A">
      <w:pPr>
        <w:autoSpaceDE w:val="0"/>
        <w:autoSpaceDN w:val="0"/>
        <w:adjustRightInd w:val="0"/>
        <w:spacing w:after="0" w:line="240" w:lineRule="auto"/>
        <w:jc w:val="center"/>
        <w:rPr>
          <w:rFonts w:cs="Arial"/>
          <w:color w:val="000000"/>
          <w:lang w:eastAsia="hu-HU"/>
        </w:rPr>
      </w:pPr>
      <w:r w:rsidRPr="00864A7C">
        <w:rPr>
          <w:b/>
          <w:bCs/>
          <w:color w:val="262B33"/>
          <w:shd w:val="clear" w:color="auto" w:fill="FFFFFF"/>
        </w:rPr>
        <w:t xml:space="preserve">Hosted by </w:t>
      </w:r>
      <w:r w:rsidRPr="00292E0A">
        <w:rPr>
          <w:rFonts w:cs="Arial"/>
          <w:color w:val="000000"/>
          <w:lang w:eastAsia="hu-HU"/>
        </w:rPr>
        <w:t>Tashkent Chemical-Technological Institute</w:t>
      </w:r>
    </w:p>
    <w:p w:rsidR="0050463B" w:rsidRPr="00864A7C" w:rsidRDefault="0050463B" w:rsidP="001F5A6E">
      <w:pPr>
        <w:jc w:val="center"/>
        <w:rPr>
          <w:b/>
          <w:bCs/>
          <w:color w:val="262B33"/>
          <w:shd w:val="clear" w:color="auto" w:fill="FFFFFF"/>
        </w:rPr>
      </w:pPr>
    </w:p>
    <w:p w:rsidR="0050463B" w:rsidRDefault="0050463B" w:rsidP="007A5CEF">
      <w:pPr>
        <w:jc w:val="both"/>
        <w:rPr>
          <w:rFonts w:cs="Tahoma"/>
          <w:b/>
          <w:bCs/>
        </w:rPr>
      </w:pPr>
    </w:p>
    <w:p w:rsidR="0050463B" w:rsidRDefault="0050463B" w:rsidP="00F060EC">
      <w:pPr>
        <w:jc w:val="both"/>
      </w:pPr>
      <w:r w:rsidRPr="00050294">
        <w:rPr>
          <w:b/>
          <w:bCs/>
          <w:i/>
          <w:iCs/>
        </w:rPr>
        <w:t>Main purposes of the event w</w:t>
      </w:r>
      <w:r>
        <w:rPr>
          <w:b/>
          <w:bCs/>
          <w:i/>
          <w:iCs/>
        </w:rPr>
        <w:t>ere</w:t>
      </w:r>
      <w:r>
        <w:rPr>
          <w:b/>
          <w:bCs/>
        </w:rPr>
        <w:t xml:space="preserve"> </w:t>
      </w:r>
      <w:r w:rsidRPr="00050294">
        <w:t>to</w:t>
      </w:r>
      <w:r>
        <w:t xml:space="preserve"> contribute to the development, implementation and adaptation of innovative quality assurance mechanisms and support structures by raising the awareness and knowledge concerning the advantages of cooperation among Uzbek HEIs including the development of joint doctoral programmes.</w:t>
      </w:r>
    </w:p>
    <w:p w:rsidR="0050463B" w:rsidRPr="004D1A89" w:rsidRDefault="0050463B" w:rsidP="007A5CEF">
      <w:pPr>
        <w:jc w:val="both"/>
        <w:rPr>
          <w:rFonts w:cs="Tahoma"/>
          <w:b/>
          <w:bCs/>
        </w:rPr>
      </w:pPr>
      <w:r>
        <w:t>The evaluation report consists of three parts: (i) summary of the evaluation by the participants (produced by the ELTE-team); (ii) evaluation by UGR-team responsible for WP2; (iii) conclusions by the ELTE-team responsible for WP3</w:t>
      </w:r>
    </w:p>
    <w:p w:rsidR="0050463B" w:rsidRPr="004D1A89" w:rsidRDefault="0050463B" w:rsidP="007A5CEF">
      <w:pPr>
        <w:jc w:val="both"/>
        <w:rPr>
          <w:rFonts w:cs="Tahoma"/>
          <w:bCs/>
        </w:rPr>
      </w:pPr>
      <w:r w:rsidRPr="00E04F64">
        <w:rPr>
          <w:rFonts w:cs="Tahoma"/>
          <w:b/>
          <w:i/>
          <w:iCs/>
        </w:rPr>
        <w:t>The Workshop had four elements as follows</w:t>
      </w:r>
      <w:r w:rsidRPr="004D1A89">
        <w:rPr>
          <w:rFonts w:cs="Tahoma"/>
          <w:bCs/>
        </w:rPr>
        <w:t>:</w:t>
      </w:r>
    </w:p>
    <w:p w:rsidR="0050463B" w:rsidRPr="004D1A89" w:rsidRDefault="0050463B" w:rsidP="00F060EC">
      <w:pPr>
        <w:numPr>
          <w:ilvl w:val="0"/>
          <w:numId w:val="14"/>
        </w:numPr>
        <w:jc w:val="both"/>
      </w:pPr>
      <w:r w:rsidRPr="004D1A89">
        <w:t xml:space="preserve">Introduction to </w:t>
      </w:r>
      <w:r>
        <w:t xml:space="preserve">the </w:t>
      </w:r>
      <w:r w:rsidRPr="004D1A89">
        <w:t>concepts of doctoral programme and joint doctoral programme (Prof Antonio</w:t>
      </w:r>
      <w:r>
        <w:t xml:space="preserve"> Goonzales</w:t>
      </w:r>
      <w:r w:rsidRPr="004D1A89">
        <w:t>, UGR)</w:t>
      </w:r>
    </w:p>
    <w:p w:rsidR="0050463B" w:rsidRPr="004D1A89" w:rsidRDefault="0050463B" w:rsidP="00F060EC">
      <w:pPr>
        <w:numPr>
          <w:ilvl w:val="0"/>
          <w:numId w:val="14"/>
        </w:numPr>
        <w:jc w:val="both"/>
      </w:pPr>
      <w:r w:rsidRPr="004D1A89">
        <w:t>Case studies by Uzbek Universities (TCTI, NamSu)</w:t>
      </w:r>
    </w:p>
    <w:p w:rsidR="0050463B" w:rsidRPr="00F060EC" w:rsidRDefault="0050463B" w:rsidP="00F060EC">
      <w:pPr>
        <w:numPr>
          <w:ilvl w:val="0"/>
          <w:numId w:val="14"/>
        </w:numPr>
      </w:pPr>
      <w:r w:rsidRPr="00F060EC">
        <w:t>Exercise in designing a model of a joint doctoral programme (JDP)</w:t>
      </w:r>
    </w:p>
    <w:p w:rsidR="0050463B" w:rsidRPr="00F060EC" w:rsidRDefault="0050463B" w:rsidP="00F060EC">
      <w:pPr>
        <w:numPr>
          <w:ilvl w:val="0"/>
          <w:numId w:val="14"/>
        </w:numPr>
      </w:pPr>
      <w:r w:rsidRPr="00F060EC">
        <w:t xml:space="preserve">Discussion on the Guidelines for the establishment of the (virtual) Joint Doctoral Centre </w:t>
      </w:r>
    </w:p>
    <w:p w:rsidR="0050463B" w:rsidRPr="004D1A89" w:rsidRDefault="0050463B" w:rsidP="007A5CEF">
      <w:pPr>
        <w:jc w:val="both"/>
        <w:rPr>
          <w:rFonts w:cs="Tahoma"/>
          <w:b/>
          <w:bCs/>
        </w:rPr>
      </w:pPr>
      <w:r w:rsidRPr="004D1A89">
        <w:rPr>
          <w:rFonts w:cs="Tahoma"/>
          <w:b/>
          <w:bCs/>
        </w:rPr>
        <w:t xml:space="preserve">The objectives of the exercise </w:t>
      </w:r>
      <w:r>
        <w:rPr>
          <w:rFonts w:cs="Tahoma"/>
          <w:b/>
          <w:bCs/>
        </w:rPr>
        <w:t xml:space="preserve">concerning JDP </w:t>
      </w:r>
      <w:r w:rsidRPr="004D1A89">
        <w:rPr>
          <w:rFonts w:cs="Tahoma"/>
          <w:b/>
          <w:bCs/>
        </w:rPr>
        <w:t xml:space="preserve">were </w:t>
      </w:r>
    </w:p>
    <w:p w:rsidR="0050463B" w:rsidRPr="004D1A89" w:rsidRDefault="0050463B" w:rsidP="007A5CEF">
      <w:pPr>
        <w:numPr>
          <w:ilvl w:val="0"/>
          <w:numId w:val="3"/>
        </w:numPr>
        <w:spacing w:after="0" w:line="240" w:lineRule="auto"/>
        <w:jc w:val="both"/>
        <w:rPr>
          <w:rFonts w:cs="Tahoma"/>
          <w:bCs/>
        </w:rPr>
      </w:pPr>
      <w:r w:rsidRPr="004D1A89">
        <w:rPr>
          <w:rFonts w:cs="Tahoma"/>
          <w:bCs/>
        </w:rPr>
        <w:t>to develop a better understanding on how a Joint Doctoral Programme can function;</w:t>
      </w:r>
    </w:p>
    <w:p w:rsidR="0050463B" w:rsidRPr="004D1A89" w:rsidRDefault="0050463B" w:rsidP="00F060EC">
      <w:pPr>
        <w:numPr>
          <w:ilvl w:val="0"/>
          <w:numId w:val="3"/>
        </w:numPr>
        <w:spacing w:after="0" w:line="240" w:lineRule="auto"/>
        <w:jc w:val="both"/>
        <w:rPr>
          <w:rFonts w:cs="Tahoma"/>
          <w:bCs/>
        </w:rPr>
      </w:pPr>
      <w:r w:rsidRPr="004D1A89">
        <w:rPr>
          <w:rFonts w:cs="Tahoma"/>
          <w:bCs/>
        </w:rPr>
        <w:t xml:space="preserve">to clarify </w:t>
      </w:r>
      <w:r>
        <w:rPr>
          <w:rFonts w:cs="Tahoma"/>
          <w:bCs/>
        </w:rPr>
        <w:t>the participants’</w:t>
      </w:r>
      <w:r w:rsidRPr="004D1A89">
        <w:rPr>
          <w:rFonts w:cs="Tahoma"/>
          <w:bCs/>
        </w:rPr>
        <w:t xml:space="preserve"> ambitions and expectations related to </w:t>
      </w:r>
      <w:r>
        <w:rPr>
          <w:rFonts w:cs="Tahoma"/>
          <w:bCs/>
        </w:rPr>
        <w:t>JDP</w:t>
      </w:r>
      <w:r w:rsidRPr="004D1A89">
        <w:rPr>
          <w:rFonts w:cs="Tahoma"/>
          <w:bCs/>
        </w:rPr>
        <w:t>;</w:t>
      </w:r>
    </w:p>
    <w:p w:rsidR="0050463B" w:rsidRPr="004D1A89" w:rsidRDefault="0050463B" w:rsidP="00F060EC">
      <w:pPr>
        <w:numPr>
          <w:ilvl w:val="0"/>
          <w:numId w:val="3"/>
        </w:numPr>
        <w:spacing w:after="0" w:line="240" w:lineRule="auto"/>
        <w:jc w:val="both"/>
        <w:rPr>
          <w:rFonts w:cs="Tahoma"/>
          <w:bCs/>
        </w:rPr>
      </w:pPr>
      <w:r w:rsidRPr="004D1A89">
        <w:rPr>
          <w:rFonts w:cs="Tahoma"/>
          <w:bCs/>
        </w:rPr>
        <w:t>to identify the main steps and procedures that are necessary in the planni</w:t>
      </w:r>
      <w:r>
        <w:rPr>
          <w:rFonts w:cs="Tahoma"/>
          <w:bCs/>
        </w:rPr>
        <w:t>ng and implementation phase of a JDP</w:t>
      </w:r>
    </w:p>
    <w:p w:rsidR="0050463B" w:rsidRPr="004D1A89" w:rsidRDefault="0050463B" w:rsidP="00F060EC">
      <w:pPr>
        <w:numPr>
          <w:ilvl w:val="0"/>
          <w:numId w:val="3"/>
        </w:numPr>
        <w:spacing w:after="0" w:line="240" w:lineRule="auto"/>
        <w:jc w:val="both"/>
        <w:rPr>
          <w:rFonts w:cs="Tahoma"/>
          <w:bCs/>
        </w:rPr>
      </w:pPr>
      <w:r w:rsidRPr="004D1A89">
        <w:rPr>
          <w:rFonts w:cs="Tahoma"/>
          <w:bCs/>
        </w:rPr>
        <w:t xml:space="preserve">to understand the personal and institutional challenges </w:t>
      </w:r>
      <w:r>
        <w:rPr>
          <w:rFonts w:cs="Tahoma"/>
          <w:bCs/>
        </w:rPr>
        <w:t>in relation to JDPs</w:t>
      </w:r>
    </w:p>
    <w:p w:rsidR="0050463B" w:rsidRPr="004D1A89" w:rsidRDefault="0050463B" w:rsidP="00F060EC">
      <w:pPr>
        <w:spacing w:after="0" w:line="240" w:lineRule="auto"/>
        <w:ind w:left="360"/>
      </w:pPr>
    </w:p>
    <w:p w:rsidR="0050463B" w:rsidRPr="003F5D30" w:rsidRDefault="0050463B" w:rsidP="00680C35">
      <w:pPr>
        <w:rPr>
          <w:b/>
          <w:bCs/>
        </w:rPr>
      </w:pPr>
      <w:r w:rsidRPr="003F5D30">
        <w:rPr>
          <w:b/>
          <w:bCs/>
        </w:rPr>
        <w:t>EVALUATION BY THE PARTICIPANTS</w:t>
      </w:r>
    </w:p>
    <w:p w:rsidR="0050463B" w:rsidRPr="004D1A89" w:rsidRDefault="0050463B" w:rsidP="00680C35">
      <w:r w:rsidRPr="004D1A89">
        <w:t>Key conclusions from the evaluation</w:t>
      </w:r>
      <w:r>
        <w:t xml:space="preserve"> questionnaire filled by 16 </w:t>
      </w:r>
      <w:r w:rsidRPr="004D1A89">
        <w:t>participant</w:t>
      </w:r>
      <w:r>
        <w:t>s</w:t>
      </w:r>
      <w:r w:rsidRPr="004D1A89">
        <w:t xml:space="preserve"> are as follows</w:t>
      </w:r>
    </w:p>
    <w:p w:rsidR="0050463B" w:rsidRPr="004D1A89" w:rsidRDefault="0050463B" w:rsidP="00F060EC">
      <w:pPr>
        <w:autoSpaceDE w:val="0"/>
        <w:autoSpaceDN w:val="0"/>
        <w:adjustRightInd w:val="0"/>
        <w:spacing w:after="0" w:line="240" w:lineRule="auto"/>
      </w:pPr>
      <w:r w:rsidRPr="004D1A89">
        <w:t xml:space="preserve">1. The </w:t>
      </w:r>
      <w:r>
        <w:t>94</w:t>
      </w:r>
      <w:r w:rsidRPr="004D1A89">
        <w:t xml:space="preserve"> % (n=1</w:t>
      </w:r>
      <w:r>
        <w:t>5</w:t>
      </w:r>
      <w:r w:rsidRPr="004D1A89">
        <w:t xml:space="preserve">) of the participants found the </w:t>
      </w:r>
      <w:r w:rsidRPr="00F060EC">
        <w:rPr>
          <w:b/>
          <w:i/>
          <w:iCs/>
        </w:rPr>
        <w:t>preliminary information</w:t>
      </w:r>
      <w:r w:rsidRPr="004D1A89">
        <w:t xml:space="preserve"> concerning the </w:t>
      </w:r>
      <w:r w:rsidRPr="004D1A89">
        <w:rPr>
          <w:rFonts w:cs="Arial"/>
          <w:bCs/>
          <w:color w:val="000000"/>
          <w:lang w:eastAsia="hu-HU"/>
        </w:rPr>
        <w:t xml:space="preserve">Quality Assurance Consultation workshop </w:t>
      </w:r>
      <w:r w:rsidRPr="004D1A89">
        <w:t>fully satisfactory and 6% (n=1) satisfactory.</w:t>
      </w:r>
      <w:r>
        <w:t xml:space="preserve"> (Mean: 3.9)</w:t>
      </w:r>
    </w:p>
    <w:p w:rsidR="0050463B" w:rsidRDefault="0050463B" w:rsidP="005622E9">
      <w:pPr>
        <w:spacing w:before="120" w:line="257" w:lineRule="auto"/>
      </w:pPr>
      <w:r w:rsidRPr="004D1A89">
        <w:t xml:space="preserve">2. The 81 % (n=13) of the participants found the </w:t>
      </w:r>
      <w:r w:rsidRPr="004D1A89">
        <w:rPr>
          <w:b/>
        </w:rPr>
        <w:t xml:space="preserve">professional content of the </w:t>
      </w:r>
      <w:r w:rsidRPr="004D1A89">
        <w:rPr>
          <w:rFonts w:cs="Arial"/>
          <w:b/>
          <w:bCs/>
          <w:color w:val="000000"/>
          <w:lang w:eastAsia="hu-HU"/>
        </w:rPr>
        <w:t xml:space="preserve">Quality Assurance Consultation Workshop </w:t>
      </w:r>
      <w:r w:rsidRPr="004D1A89">
        <w:rPr>
          <w:b/>
        </w:rPr>
        <w:t xml:space="preserve">as a whole </w:t>
      </w:r>
      <w:r w:rsidRPr="004D1A89">
        <w:t>very</w:t>
      </w:r>
      <w:r w:rsidRPr="004D1A89">
        <w:rPr>
          <w:b/>
        </w:rPr>
        <w:t xml:space="preserve"> </w:t>
      </w:r>
      <w:r w:rsidRPr="004D1A89">
        <w:t xml:space="preserve">useful and </w:t>
      </w:r>
      <w:r>
        <w:t>19</w:t>
      </w:r>
      <w:r w:rsidRPr="004D1A89">
        <w:t>% (n=3) useful from the point of view of their activity in the Uzbek doctoral education.</w:t>
      </w:r>
      <w:r>
        <w:t xml:space="preserve"> (Mean: 3.8)</w:t>
      </w:r>
    </w:p>
    <w:p w:rsidR="0050463B" w:rsidRPr="004D1A89" w:rsidRDefault="0050463B" w:rsidP="00F060EC">
      <w:pPr>
        <w:spacing w:before="120" w:line="257" w:lineRule="auto"/>
      </w:pPr>
      <w:r>
        <w:br w:type="page"/>
      </w:r>
    </w:p>
    <w:p w:rsidR="0050463B" w:rsidRPr="004D1A89" w:rsidRDefault="0050463B" w:rsidP="00B841AD">
      <w:r w:rsidRPr="004D1A89">
        <w:lastRenderedPageBreak/>
        <w:t xml:space="preserve">3. As to the components of the </w:t>
      </w:r>
      <w:r w:rsidRPr="004D1A89">
        <w:rPr>
          <w:rFonts w:cs="Arial"/>
          <w:b/>
          <w:bCs/>
          <w:color w:val="000000"/>
          <w:lang w:eastAsia="hu-HU"/>
        </w:rPr>
        <w:t xml:space="preserve">Consultation Workshop, </w:t>
      </w:r>
      <w:r w:rsidRPr="004D1A89">
        <w:rPr>
          <w:rFonts w:cs="Arial"/>
          <w:bCs/>
          <w:color w:val="000000"/>
          <w:lang w:eastAsia="hu-HU"/>
        </w:rPr>
        <w:t>evaluation by the</w:t>
      </w:r>
      <w:r w:rsidRPr="004D1A89">
        <w:rPr>
          <w:rFonts w:cs="Arial"/>
          <w:b/>
          <w:bCs/>
          <w:color w:val="000000"/>
          <w:lang w:eastAsia="hu-HU"/>
        </w:rPr>
        <w:t xml:space="preserve"> </w:t>
      </w:r>
      <w:r w:rsidRPr="004D1A89">
        <w:rPr>
          <w:rFonts w:cs="Arial"/>
          <w:bCs/>
          <w:color w:val="000000"/>
          <w:lang w:eastAsia="hu-HU"/>
        </w:rPr>
        <w:t>participants is as follows</w:t>
      </w:r>
      <w:r>
        <w:rPr>
          <w:rFonts w:cs="Arial"/>
          <w:bCs/>
          <w:color w:val="000000"/>
          <w:lang w:eastAsia="hu-H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668"/>
        <w:gridCol w:w="174"/>
        <w:gridCol w:w="1843"/>
        <w:gridCol w:w="1843"/>
      </w:tblGrid>
      <w:tr w:rsidR="0050463B" w:rsidRPr="004D1A89" w:rsidTr="007D25F5">
        <w:tc>
          <w:tcPr>
            <w:tcW w:w="7370" w:type="dxa"/>
            <w:gridSpan w:val="5"/>
          </w:tcPr>
          <w:tbl>
            <w:tblPr>
              <w:tblW w:w="0" w:type="auto"/>
              <w:tblLook w:val="0000" w:firstRow="0" w:lastRow="0" w:firstColumn="0" w:lastColumn="0" w:noHBand="0" w:noVBand="0"/>
            </w:tblPr>
            <w:tblGrid>
              <w:gridCol w:w="1718"/>
            </w:tblGrid>
            <w:tr w:rsidR="0050463B" w:rsidRPr="004D1A89">
              <w:trPr>
                <w:trHeight w:val="93"/>
              </w:trPr>
              <w:tc>
                <w:tcPr>
                  <w:tcW w:w="0" w:type="auto"/>
                  <w:tcBorders>
                    <w:top w:val="nil"/>
                    <w:left w:val="nil"/>
                    <w:bottom w:val="nil"/>
                    <w:right w:val="nil"/>
                  </w:tcBorders>
                </w:tcPr>
                <w:p w:rsidR="0050463B" w:rsidRPr="004D1A89" w:rsidRDefault="0050463B" w:rsidP="00B8632E">
                  <w:pPr>
                    <w:autoSpaceDE w:val="0"/>
                    <w:autoSpaceDN w:val="0"/>
                    <w:adjustRightInd w:val="0"/>
                    <w:spacing w:after="0" w:line="240" w:lineRule="auto"/>
                    <w:rPr>
                      <w:rFonts w:cs="Arial"/>
                      <w:color w:val="000000"/>
                      <w:lang w:eastAsia="hu-HU"/>
                    </w:rPr>
                  </w:pPr>
                  <w:r w:rsidRPr="004D1A89">
                    <w:rPr>
                      <w:rFonts w:cs="Arial"/>
                      <w:color w:val="000000"/>
                      <w:lang w:eastAsia="hu-HU"/>
                    </w:rPr>
                    <w:t xml:space="preserve"> 1. </w:t>
                  </w:r>
                  <w:r w:rsidRPr="004D1A89">
                    <w:rPr>
                      <w:rFonts w:cs="Arial"/>
                      <w:b/>
                      <w:bCs/>
                      <w:color w:val="000000"/>
                      <w:lang w:eastAsia="hu-HU"/>
                    </w:rPr>
                    <w:t xml:space="preserve">Presentation: </w:t>
                  </w:r>
                </w:p>
              </w:tc>
            </w:tr>
          </w:tbl>
          <w:p w:rsidR="0050463B" w:rsidRPr="004D1A89" w:rsidRDefault="0050463B" w:rsidP="00B8632E">
            <w:r w:rsidRPr="004D1A89">
              <w:t xml:space="preserve">“Introduction to concepts of doctoral programme and joint doctoral programme” </w:t>
            </w:r>
          </w:p>
        </w:tc>
      </w:tr>
      <w:tr w:rsidR="0050463B" w:rsidRPr="004D1A89" w:rsidTr="00BF2536">
        <w:tc>
          <w:tcPr>
            <w:tcW w:w="1842" w:type="dxa"/>
          </w:tcPr>
          <w:p w:rsidR="0050463B" w:rsidRPr="004D1A89" w:rsidRDefault="0050463B" w:rsidP="0072375D">
            <w:r w:rsidRPr="004D1A89">
              <w:t xml:space="preserve">Very useful </w:t>
            </w:r>
          </w:p>
          <w:p w:rsidR="0050463B" w:rsidRPr="004D1A89" w:rsidRDefault="0050463B" w:rsidP="0072375D">
            <w:r>
              <w:t>81</w:t>
            </w:r>
            <w:r w:rsidRPr="004D1A89">
              <w:t>% (n=13)</w:t>
            </w:r>
          </w:p>
        </w:tc>
        <w:tc>
          <w:tcPr>
            <w:tcW w:w="1668" w:type="dxa"/>
          </w:tcPr>
          <w:p w:rsidR="0050463B" w:rsidRPr="004D1A89" w:rsidRDefault="0050463B" w:rsidP="0072375D">
            <w:r w:rsidRPr="004D1A89">
              <w:t xml:space="preserve"> Useful</w:t>
            </w:r>
          </w:p>
          <w:p w:rsidR="0050463B" w:rsidRPr="004D1A89" w:rsidRDefault="0050463B" w:rsidP="0072375D">
            <w:r>
              <w:t>19</w:t>
            </w:r>
            <w:r w:rsidRPr="004D1A89">
              <w:t>% (n=3)</w:t>
            </w:r>
          </w:p>
        </w:tc>
        <w:tc>
          <w:tcPr>
            <w:tcW w:w="2017" w:type="dxa"/>
            <w:gridSpan w:val="2"/>
          </w:tcPr>
          <w:p w:rsidR="0050463B" w:rsidRPr="004D1A89" w:rsidRDefault="0050463B" w:rsidP="0072375D">
            <w:r w:rsidRPr="004D1A89">
              <w:t>Only partly useful</w:t>
            </w:r>
          </w:p>
        </w:tc>
        <w:tc>
          <w:tcPr>
            <w:tcW w:w="1843" w:type="dxa"/>
          </w:tcPr>
          <w:p w:rsidR="0050463B" w:rsidRDefault="0050463B" w:rsidP="0072375D">
            <w:r>
              <w:t>MEAN</w:t>
            </w:r>
          </w:p>
          <w:p w:rsidR="0050463B" w:rsidRPr="004D1A89" w:rsidRDefault="0050463B" w:rsidP="0072375D">
            <w:r>
              <w:t>3.8</w:t>
            </w:r>
          </w:p>
        </w:tc>
      </w:tr>
      <w:tr w:rsidR="0050463B" w:rsidRPr="004D1A89" w:rsidTr="00447436">
        <w:tc>
          <w:tcPr>
            <w:tcW w:w="7370" w:type="dxa"/>
            <w:gridSpan w:val="5"/>
          </w:tcPr>
          <w:tbl>
            <w:tblPr>
              <w:tblW w:w="0" w:type="auto"/>
              <w:tblLook w:val="0000" w:firstRow="0" w:lastRow="0" w:firstColumn="0" w:lastColumn="0" w:noHBand="0" w:noVBand="0"/>
            </w:tblPr>
            <w:tblGrid>
              <w:gridCol w:w="4024"/>
            </w:tblGrid>
            <w:tr w:rsidR="0050463B" w:rsidRPr="004D1A89">
              <w:trPr>
                <w:trHeight w:val="93"/>
              </w:trPr>
              <w:tc>
                <w:tcPr>
                  <w:tcW w:w="0" w:type="auto"/>
                  <w:tcBorders>
                    <w:top w:val="nil"/>
                    <w:left w:val="nil"/>
                    <w:bottom w:val="nil"/>
                    <w:right w:val="nil"/>
                  </w:tcBorders>
                </w:tcPr>
                <w:p w:rsidR="0050463B" w:rsidRPr="004D1A89" w:rsidRDefault="0050463B" w:rsidP="00B8632E">
                  <w:pPr>
                    <w:autoSpaceDE w:val="0"/>
                    <w:autoSpaceDN w:val="0"/>
                    <w:adjustRightInd w:val="0"/>
                    <w:spacing w:after="0" w:line="240" w:lineRule="auto"/>
                    <w:rPr>
                      <w:rFonts w:cs="Arial"/>
                      <w:color w:val="000000"/>
                      <w:lang w:eastAsia="hu-HU"/>
                    </w:rPr>
                  </w:pPr>
                  <w:r w:rsidRPr="004D1A89">
                    <w:rPr>
                      <w:rFonts w:cs="Arial"/>
                      <w:color w:val="000000"/>
                      <w:lang w:eastAsia="hu-HU"/>
                    </w:rPr>
                    <w:t xml:space="preserve"> 2. Case studies by Uzbek universities: TCTI</w:t>
                  </w:r>
                  <w:r w:rsidRPr="004D1A89">
                    <w:rPr>
                      <w:rFonts w:cs="Arial"/>
                      <w:b/>
                      <w:bCs/>
                      <w:color w:val="000000"/>
                      <w:lang w:eastAsia="hu-HU"/>
                    </w:rPr>
                    <w:t xml:space="preserve"> </w:t>
                  </w:r>
                </w:p>
              </w:tc>
            </w:tr>
          </w:tbl>
          <w:p w:rsidR="0050463B" w:rsidRPr="004D1A89" w:rsidRDefault="0050463B" w:rsidP="00BC2CD8"/>
        </w:tc>
      </w:tr>
      <w:tr w:rsidR="0050463B" w:rsidRPr="004D1A89" w:rsidTr="003B3F03">
        <w:trPr>
          <w:trHeight w:val="847"/>
        </w:trPr>
        <w:tc>
          <w:tcPr>
            <w:tcW w:w="1842" w:type="dxa"/>
          </w:tcPr>
          <w:p w:rsidR="0050463B" w:rsidRPr="004D1A89" w:rsidRDefault="0050463B" w:rsidP="00447436">
            <w:r w:rsidRPr="004D1A89">
              <w:t xml:space="preserve">Very useful </w:t>
            </w:r>
          </w:p>
          <w:p w:rsidR="0050463B" w:rsidRPr="004D1A89" w:rsidRDefault="0050463B" w:rsidP="00447436">
            <w:r>
              <w:t>81</w:t>
            </w:r>
            <w:r w:rsidRPr="004D1A89">
              <w:t>% (n=13)</w:t>
            </w:r>
          </w:p>
        </w:tc>
        <w:tc>
          <w:tcPr>
            <w:tcW w:w="1842" w:type="dxa"/>
            <w:gridSpan w:val="2"/>
          </w:tcPr>
          <w:p w:rsidR="0050463B" w:rsidRPr="004D1A89" w:rsidRDefault="0050463B" w:rsidP="00447436">
            <w:r w:rsidRPr="004D1A89">
              <w:t>Useful</w:t>
            </w:r>
          </w:p>
          <w:p w:rsidR="0050463B" w:rsidRPr="004D1A89" w:rsidRDefault="0050463B" w:rsidP="00447436">
            <w:r>
              <w:t>19</w:t>
            </w:r>
            <w:r w:rsidRPr="004D1A89">
              <w:t>% (n=3)</w:t>
            </w:r>
          </w:p>
        </w:tc>
        <w:tc>
          <w:tcPr>
            <w:tcW w:w="1843" w:type="dxa"/>
          </w:tcPr>
          <w:p w:rsidR="0050463B" w:rsidRPr="004D1A89" w:rsidRDefault="0050463B" w:rsidP="00447436">
            <w:r w:rsidRPr="004D1A89">
              <w:t>Only partly useful</w:t>
            </w:r>
          </w:p>
        </w:tc>
        <w:tc>
          <w:tcPr>
            <w:tcW w:w="1843" w:type="dxa"/>
          </w:tcPr>
          <w:p w:rsidR="0050463B" w:rsidRDefault="0050463B" w:rsidP="00447436">
            <w:r>
              <w:t>MEAN</w:t>
            </w:r>
          </w:p>
          <w:p w:rsidR="0050463B" w:rsidRPr="004D1A89" w:rsidRDefault="0050463B" w:rsidP="00447436">
            <w:r>
              <w:t>3.8</w:t>
            </w:r>
          </w:p>
        </w:tc>
      </w:tr>
      <w:tr w:rsidR="0050463B" w:rsidRPr="004D1A89" w:rsidTr="00447436">
        <w:tc>
          <w:tcPr>
            <w:tcW w:w="7370" w:type="dxa"/>
            <w:gridSpan w:val="5"/>
          </w:tcPr>
          <w:tbl>
            <w:tblPr>
              <w:tblW w:w="0" w:type="auto"/>
              <w:tblLook w:val="0000" w:firstRow="0" w:lastRow="0" w:firstColumn="0" w:lastColumn="0" w:noHBand="0" w:noVBand="0"/>
            </w:tblPr>
            <w:tblGrid>
              <w:gridCol w:w="4277"/>
            </w:tblGrid>
            <w:tr w:rsidR="0050463B" w:rsidRPr="004D1A89">
              <w:trPr>
                <w:trHeight w:val="323"/>
              </w:trPr>
              <w:tc>
                <w:tcPr>
                  <w:tcW w:w="0" w:type="auto"/>
                  <w:tcBorders>
                    <w:top w:val="nil"/>
                    <w:left w:val="nil"/>
                    <w:bottom w:val="nil"/>
                    <w:right w:val="nil"/>
                  </w:tcBorders>
                </w:tcPr>
                <w:p w:rsidR="0050463B" w:rsidRPr="004D1A89" w:rsidRDefault="0050463B" w:rsidP="00B8632E">
                  <w:pPr>
                    <w:autoSpaceDE w:val="0"/>
                    <w:autoSpaceDN w:val="0"/>
                    <w:adjustRightInd w:val="0"/>
                    <w:spacing w:after="0" w:line="240" w:lineRule="auto"/>
                    <w:rPr>
                      <w:rFonts w:cs="Arial"/>
                      <w:color w:val="000000"/>
                      <w:lang w:eastAsia="hu-HU"/>
                    </w:rPr>
                  </w:pPr>
                  <w:r w:rsidRPr="004D1A89">
                    <w:rPr>
                      <w:rFonts w:cs="Arial"/>
                      <w:color w:val="000000"/>
                      <w:lang w:eastAsia="hu-HU"/>
                    </w:rPr>
                    <w:t xml:space="preserve"> 3. Case studies by Uzbek universities: NamSu</w:t>
                  </w:r>
                </w:p>
              </w:tc>
            </w:tr>
          </w:tbl>
          <w:p w:rsidR="0050463B" w:rsidRPr="004D1A89" w:rsidRDefault="0050463B" w:rsidP="00BC2CD8"/>
        </w:tc>
      </w:tr>
      <w:tr w:rsidR="0050463B" w:rsidRPr="004D1A89" w:rsidTr="00447436">
        <w:tc>
          <w:tcPr>
            <w:tcW w:w="1842" w:type="dxa"/>
          </w:tcPr>
          <w:p w:rsidR="0050463B" w:rsidRPr="004D1A89" w:rsidRDefault="0050463B" w:rsidP="00447436">
            <w:r w:rsidRPr="004D1A89">
              <w:t xml:space="preserve">Very useful </w:t>
            </w:r>
          </w:p>
          <w:p w:rsidR="0050463B" w:rsidRPr="004D1A89" w:rsidRDefault="0050463B" w:rsidP="00447436">
            <w:r>
              <w:t>73</w:t>
            </w:r>
            <w:r w:rsidRPr="004D1A89">
              <w:t>% (n=11)</w:t>
            </w:r>
          </w:p>
        </w:tc>
        <w:tc>
          <w:tcPr>
            <w:tcW w:w="1842" w:type="dxa"/>
            <w:gridSpan w:val="2"/>
          </w:tcPr>
          <w:p w:rsidR="0050463B" w:rsidRPr="004D1A89" w:rsidRDefault="0050463B" w:rsidP="00447436">
            <w:r w:rsidRPr="004D1A89">
              <w:t>Useful</w:t>
            </w:r>
          </w:p>
          <w:p w:rsidR="0050463B" w:rsidRPr="004D1A89" w:rsidRDefault="0050463B" w:rsidP="00447436">
            <w:r w:rsidRPr="004D1A89">
              <w:t>27% (n=4)</w:t>
            </w:r>
          </w:p>
        </w:tc>
        <w:tc>
          <w:tcPr>
            <w:tcW w:w="1843" w:type="dxa"/>
          </w:tcPr>
          <w:p w:rsidR="0050463B" w:rsidRPr="004D1A89" w:rsidRDefault="0050463B" w:rsidP="00447436">
            <w:r w:rsidRPr="004D1A89">
              <w:t>Only partly useful</w:t>
            </w:r>
          </w:p>
        </w:tc>
        <w:tc>
          <w:tcPr>
            <w:tcW w:w="1843" w:type="dxa"/>
          </w:tcPr>
          <w:p w:rsidR="0050463B" w:rsidRDefault="0050463B" w:rsidP="00447436">
            <w:r>
              <w:t>MEAN</w:t>
            </w:r>
          </w:p>
          <w:p w:rsidR="0050463B" w:rsidRPr="004D1A89" w:rsidRDefault="0050463B" w:rsidP="00447436">
            <w:r>
              <w:t>3.7</w:t>
            </w:r>
          </w:p>
        </w:tc>
      </w:tr>
      <w:tr w:rsidR="0050463B" w:rsidRPr="004D1A89" w:rsidTr="00447436">
        <w:tc>
          <w:tcPr>
            <w:tcW w:w="7370" w:type="dxa"/>
            <w:gridSpan w:val="5"/>
          </w:tcPr>
          <w:tbl>
            <w:tblPr>
              <w:tblW w:w="0" w:type="auto"/>
              <w:tblLook w:val="0000" w:firstRow="0" w:lastRow="0" w:firstColumn="0" w:lastColumn="0" w:noHBand="0" w:noVBand="0"/>
            </w:tblPr>
            <w:tblGrid>
              <w:gridCol w:w="5960"/>
            </w:tblGrid>
            <w:tr w:rsidR="0050463B" w:rsidRPr="004D1A89">
              <w:trPr>
                <w:trHeight w:val="323"/>
              </w:trPr>
              <w:tc>
                <w:tcPr>
                  <w:tcW w:w="0" w:type="auto"/>
                  <w:tcBorders>
                    <w:top w:val="nil"/>
                    <w:left w:val="nil"/>
                    <w:bottom w:val="nil"/>
                    <w:right w:val="nil"/>
                  </w:tcBorders>
                </w:tcPr>
                <w:p w:rsidR="0050463B" w:rsidRPr="004D1A89" w:rsidRDefault="0050463B" w:rsidP="00B8632E">
                  <w:pPr>
                    <w:autoSpaceDE w:val="0"/>
                    <w:autoSpaceDN w:val="0"/>
                    <w:adjustRightInd w:val="0"/>
                    <w:spacing w:after="0" w:line="240" w:lineRule="auto"/>
                  </w:pPr>
                  <w:r w:rsidRPr="004D1A89">
                    <w:rPr>
                      <w:rFonts w:cs="Arial"/>
                      <w:color w:val="000000"/>
                      <w:lang w:eastAsia="hu-HU"/>
                    </w:rPr>
                    <w:t xml:space="preserve"> 4. </w:t>
                  </w:r>
                  <w:r w:rsidRPr="004D1A89">
                    <w:rPr>
                      <w:b/>
                      <w:bCs/>
                    </w:rPr>
                    <w:t xml:space="preserve">Exercise in designing a model of a joint doctoral programme </w:t>
                  </w:r>
                </w:p>
                <w:p w:rsidR="0050463B" w:rsidRPr="004D1A89" w:rsidRDefault="0050463B" w:rsidP="00B8632E">
                  <w:pPr>
                    <w:autoSpaceDE w:val="0"/>
                    <w:autoSpaceDN w:val="0"/>
                    <w:adjustRightInd w:val="0"/>
                    <w:spacing w:after="0" w:line="240" w:lineRule="auto"/>
                    <w:rPr>
                      <w:rFonts w:cs="Arial"/>
                      <w:color w:val="000000"/>
                      <w:lang w:eastAsia="hu-HU"/>
                    </w:rPr>
                  </w:pPr>
                </w:p>
              </w:tc>
            </w:tr>
          </w:tbl>
          <w:p w:rsidR="0050463B" w:rsidRPr="004D1A89" w:rsidRDefault="0050463B" w:rsidP="00864A7C">
            <w:pPr>
              <w:jc w:val="center"/>
            </w:pPr>
            <w:r w:rsidRPr="004D1A89">
              <w:t>(moderated by the Team of ELTE)</w:t>
            </w:r>
          </w:p>
        </w:tc>
      </w:tr>
      <w:tr w:rsidR="0050463B" w:rsidRPr="004D1A89" w:rsidTr="00447436">
        <w:tc>
          <w:tcPr>
            <w:tcW w:w="1842" w:type="dxa"/>
          </w:tcPr>
          <w:p w:rsidR="0050463B" w:rsidRPr="004D1A89" w:rsidRDefault="0050463B" w:rsidP="00447436">
            <w:r w:rsidRPr="004D1A89">
              <w:t xml:space="preserve">Very useful </w:t>
            </w:r>
          </w:p>
          <w:p w:rsidR="0050463B" w:rsidRPr="004D1A89" w:rsidRDefault="0050463B" w:rsidP="00447436">
            <w:r>
              <w:t>88</w:t>
            </w:r>
            <w:r w:rsidRPr="004D1A89">
              <w:t>% (n=14)</w:t>
            </w:r>
          </w:p>
        </w:tc>
        <w:tc>
          <w:tcPr>
            <w:tcW w:w="1842" w:type="dxa"/>
            <w:gridSpan w:val="2"/>
          </w:tcPr>
          <w:p w:rsidR="0050463B" w:rsidRPr="004D1A89" w:rsidRDefault="0050463B" w:rsidP="00447436">
            <w:r w:rsidRPr="004D1A89">
              <w:t>Useful</w:t>
            </w:r>
          </w:p>
          <w:p w:rsidR="0050463B" w:rsidRPr="004D1A89" w:rsidRDefault="0050463B" w:rsidP="00447436">
            <w:r>
              <w:t>12</w:t>
            </w:r>
            <w:r w:rsidRPr="004D1A89">
              <w:t>% (n=2)</w:t>
            </w:r>
          </w:p>
        </w:tc>
        <w:tc>
          <w:tcPr>
            <w:tcW w:w="1843" w:type="dxa"/>
          </w:tcPr>
          <w:p w:rsidR="0050463B" w:rsidRPr="004D1A89" w:rsidRDefault="0050463B" w:rsidP="00447436">
            <w:r w:rsidRPr="004D1A89">
              <w:t>Only partly useful</w:t>
            </w:r>
          </w:p>
        </w:tc>
        <w:tc>
          <w:tcPr>
            <w:tcW w:w="1843" w:type="dxa"/>
          </w:tcPr>
          <w:p w:rsidR="0050463B" w:rsidRDefault="0050463B" w:rsidP="00447436">
            <w:r>
              <w:t>MEAN</w:t>
            </w:r>
          </w:p>
          <w:p w:rsidR="0050463B" w:rsidRPr="004D1A89" w:rsidRDefault="0050463B" w:rsidP="00447436">
            <w:r>
              <w:t>3.9</w:t>
            </w:r>
          </w:p>
        </w:tc>
      </w:tr>
      <w:tr w:rsidR="0050463B" w:rsidRPr="004D1A89" w:rsidTr="00447436">
        <w:tc>
          <w:tcPr>
            <w:tcW w:w="7370" w:type="dxa"/>
            <w:gridSpan w:val="5"/>
          </w:tcPr>
          <w:tbl>
            <w:tblPr>
              <w:tblW w:w="0" w:type="auto"/>
              <w:tblLook w:val="0000" w:firstRow="0" w:lastRow="0" w:firstColumn="0" w:lastColumn="0" w:noHBand="0" w:noVBand="0"/>
            </w:tblPr>
            <w:tblGrid>
              <w:gridCol w:w="7154"/>
            </w:tblGrid>
            <w:tr w:rsidR="0050463B" w:rsidRPr="004D1A89">
              <w:trPr>
                <w:trHeight w:val="439"/>
              </w:trPr>
              <w:tc>
                <w:tcPr>
                  <w:tcW w:w="0" w:type="auto"/>
                  <w:tcBorders>
                    <w:top w:val="nil"/>
                    <w:left w:val="nil"/>
                    <w:bottom w:val="nil"/>
                    <w:right w:val="nil"/>
                  </w:tcBorders>
                </w:tcPr>
                <w:p w:rsidR="0050463B" w:rsidRPr="004D1A89" w:rsidRDefault="0050463B" w:rsidP="00864A7C">
                  <w:pPr>
                    <w:autoSpaceDE w:val="0"/>
                    <w:autoSpaceDN w:val="0"/>
                    <w:adjustRightInd w:val="0"/>
                    <w:spacing w:after="0" w:line="240" w:lineRule="auto"/>
                  </w:pPr>
                  <w:r w:rsidRPr="004D1A89">
                    <w:rPr>
                      <w:rFonts w:cs="Arial"/>
                      <w:color w:val="000000"/>
                      <w:lang w:eastAsia="hu-HU"/>
                    </w:rPr>
                    <w:t xml:space="preserve"> 5. </w:t>
                  </w:r>
                  <w:r w:rsidRPr="004D1A89">
                    <w:t xml:space="preserve">Discussion on the Guidelines for the establishment of the (virtual) Joint Doctoral Centre </w:t>
                  </w:r>
                </w:p>
                <w:p w:rsidR="0050463B" w:rsidRPr="004D1A89" w:rsidRDefault="0050463B" w:rsidP="00B8632E">
                  <w:pPr>
                    <w:autoSpaceDE w:val="0"/>
                    <w:autoSpaceDN w:val="0"/>
                    <w:adjustRightInd w:val="0"/>
                    <w:spacing w:after="0" w:line="240" w:lineRule="auto"/>
                    <w:rPr>
                      <w:rFonts w:cs="Arial"/>
                      <w:color w:val="000000"/>
                      <w:lang w:eastAsia="hu-HU"/>
                    </w:rPr>
                  </w:pPr>
                </w:p>
              </w:tc>
            </w:tr>
          </w:tbl>
          <w:p w:rsidR="0050463B" w:rsidRPr="004D1A89" w:rsidRDefault="0050463B" w:rsidP="00280985"/>
        </w:tc>
      </w:tr>
      <w:tr w:rsidR="0050463B" w:rsidRPr="004D1A89" w:rsidTr="00447436">
        <w:tc>
          <w:tcPr>
            <w:tcW w:w="1842" w:type="dxa"/>
          </w:tcPr>
          <w:p w:rsidR="0050463B" w:rsidRPr="004D1A89" w:rsidRDefault="0050463B" w:rsidP="00447436">
            <w:r w:rsidRPr="004D1A89">
              <w:t xml:space="preserve">Very useful </w:t>
            </w:r>
          </w:p>
          <w:p w:rsidR="0050463B" w:rsidRPr="004D1A89" w:rsidRDefault="0050463B" w:rsidP="00447436">
            <w:r>
              <w:t>88</w:t>
            </w:r>
            <w:r w:rsidRPr="004D1A89">
              <w:t>% (n=14)</w:t>
            </w:r>
          </w:p>
        </w:tc>
        <w:tc>
          <w:tcPr>
            <w:tcW w:w="1842" w:type="dxa"/>
            <w:gridSpan w:val="2"/>
          </w:tcPr>
          <w:p w:rsidR="0050463B" w:rsidRPr="004D1A89" w:rsidRDefault="0050463B" w:rsidP="00447436">
            <w:r w:rsidRPr="004D1A89">
              <w:t>Useful</w:t>
            </w:r>
          </w:p>
          <w:p w:rsidR="0050463B" w:rsidRPr="004D1A89" w:rsidRDefault="0050463B" w:rsidP="00447436">
            <w:r>
              <w:t>12</w:t>
            </w:r>
            <w:r w:rsidRPr="004D1A89">
              <w:t>% (n=2)</w:t>
            </w:r>
          </w:p>
        </w:tc>
        <w:tc>
          <w:tcPr>
            <w:tcW w:w="1843" w:type="dxa"/>
          </w:tcPr>
          <w:p w:rsidR="0050463B" w:rsidRPr="004D1A89" w:rsidRDefault="0050463B" w:rsidP="00447436">
            <w:r w:rsidRPr="004D1A89">
              <w:t>Only partly useful</w:t>
            </w:r>
          </w:p>
        </w:tc>
        <w:tc>
          <w:tcPr>
            <w:tcW w:w="1843" w:type="dxa"/>
          </w:tcPr>
          <w:p w:rsidR="0050463B" w:rsidRDefault="0050463B" w:rsidP="00447436">
            <w:r>
              <w:t>MEAN</w:t>
            </w:r>
          </w:p>
          <w:p w:rsidR="0050463B" w:rsidRPr="004D1A89" w:rsidRDefault="0050463B" w:rsidP="00447436">
            <w:r>
              <w:t>3.9</w:t>
            </w:r>
          </w:p>
        </w:tc>
      </w:tr>
    </w:tbl>
    <w:p w:rsidR="0050463B" w:rsidRPr="004D1A89" w:rsidRDefault="0050463B" w:rsidP="00B841AD"/>
    <w:p w:rsidR="0050463B" w:rsidRPr="004D1A89" w:rsidRDefault="0050463B" w:rsidP="005622E9">
      <w:r w:rsidRPr="004D1A89">
        <w:t xml:space="preserve">4. The </w:t>
      </w:r>
      <w:r>
        <w:t>94</w:t>
      </w:r>
      <w:r w:rsidRPr="004D1A89">
        <w:t xml:space="preserve">% (n=15) of the participants were fully satisfied and </w:t>
      </w:r>
      <w:r>
        <w:t>6</w:t>
      </w:r>
      <w:r w:rsidRPr="004D1A89">
        <w:t>% (n=1) satisfied with the organizational aspects of the Workshop.</w:t>
      </w:r>
    </w:p>
    <w:p w:rsidR="0050463B" w:rsidRPr="005622E9" w:rsidRDefault="0050463B" w:rsidP="00B9199D">
      <w:pPr>
        <w:rPr>
          <w:b/>
          <w:i/>
          <w:iCs/>
        </w:rPr>
      </w:pPr>
      <w:r w:rsidRPr="005622E9">
        <w:rPr>
          <w:b/>
          <w:i/>
          <w:iCs/>
        </w:rPr>
        <w:t>Evaluation by the ELTE-team</w:t>
      </w:r>
    </w:p>
    <w:p w:rsidR="0050463B" w:rsidRDefault="0050463B" w:rsidP="00B9199D">
      <w:pPr>
        <w:rPr>
          <w:rFonts w:cs="Arial"/>
          <w:bCs/>
          <w:color w:val="000000"/>
          <w:lang w:eastAsia="hu-HU"/>
        </w:rPr>
      </w:pPr>
      <w:r w:rsidRPr="007A0623">
        <w:rPr>
          <w:bCs/>
        </w:rPr>
        <w:t xml:space="preserve">The </w:t>
      </w:r>
      <w:r w:rsidRPr="007A0623">
        <w:rPr>
          <w:rFonts w:cs="Arial"/>
          <w:bCs/>
          <w:color w:val="000000"/>
          <w:lang w:eastAsia="hu-HU"/>
        </w:rPr>
        <w:t>Quality Assurance Consultation Workshop was well structured, the different type of activities made a good mix of theory and practice. As the main focus of the whole activity was to fine tune the opportunities related to Joint Doctoral Programmes it was important to get a better understanding of the participants’ views on this opportunity. It has become clear that depending on the subject areas different directions can be seen as best options for Uzbek Higher Education Institutions. The Consultation Workshop provided all the participan</w:t>
      </w:r>
      <w:r>
        <w:rPr>
          <w:rFonts w:cs="Arial"/>
          <w:bCs/>
          <w:color w:val="000000"/>
          <w:lang w:eastAsia="hu-HU"/>
        </w:rPr>
        <w:t>ts (facilitators and Uzbek representatives) with a better and deeper understanding regarding the benefits and costs of a JDP. The fact that the new legislative system of doctoral education was still in progress at the time of the event and that the related rules and regulations were not yet crystal clear caused some sort of ambiguity for practical exercise in designing a model JDP.</w:t>
      </w:r>
    </w:p>
    <w:p w:rsidR="0050463B" w:rsidRDefault="0050463B" w:rsidP="00B9199D">
      <w:pPr>
        <w:rPr>
          <w:rFonts w:cs="Arial"/>
          <w:bCs/>
          <w:color w:val="000000"/>
          <w:lang w:eastAsia="hu-HU"/>
        </w:rPr>
      </w:pPr>
      <w:r w:rsidRPr="00B9199D">
        <w:rPr>
          <w:rFonts w:cs="Arial"/>
          <w:b/>
          <w:i/>
          <w:iCs/>
          <w:color w:val="000000"/>
          <w:lang w:eastAsia="hu-HU"/>
        </w:rPr>
        <w:t xml:space="preserve">It seems desirable to modify the concrete content of output D2.5. </w:t>
      </w:r>
      <w:r>
        <w:rPr>
          <w:rFonts w:cs="Arial"/>
          <w:bCs/>
          <w:color w:val="000000"/>
          <w:lang w:eastAsia="hu-HU"/>
        </w:rPr>
        <w:t xml:space="preserve">The Project Plan envisages that “during the lifecycle of the project, a model of a new JDP will be created … through which they will be able to accomplish cooperation, and to implement quality standards..” (p.39)  Under the current </w:t>
      </w:r>
      <w:r>
        <w:rPr>
          <w:rFonts w:cs="Arial"/>
          <w:bCs/>
          <w:color w:val="000000"/>
          <w:lang w:eastAsia="hu-HU"/>
        </w:rPr>
        <w:lastRenderedPageBreak/>
        <w:t xml:space="preserve">circumstances of the Uzbek doctoral education, it seems more useful to develop less formalized ways of cooperation. On the other hand, it would be useful to prepare suggestions for the necessary conditions and steps in developing cooperation (and JDP if feasible) with foreign European universities.  </w:t>
      </w:r>
    </w:p>
    <w:p w:rsidR="0050463B" w:rsidRDefault="0050463B" w:rsidP="00827016">
      <w:pPr>
        <w:rPr>
          <w:rFonts w:cs="Arial"/>
          <w:bCs/>
          <w:color w:val="000000"/>
          <w:lang w:eastAsia="hu-HU"/>
        </w:rPr>
      </w:pPr>
    </w:p>
    <w:p w:rsidR="0050463B" w:rsidRPr="004D1A89" w:rsidRDefault="0050463B" w:rsidP="00B841AD"/>
    <w:p w:rsidR="0050463B" w:rsidRPr="00864A7C" w:rsidRDefault="0050463B" w:rsidP="00B841AD"/>
    <w:p w:rsidR="0050463B" w:rsidRPr="00864A7C" w:rsidRDefault="0050463B" w:rsidP="00B841AD"/>
    <w:p w:rsidR="0050463B" w:rsidRPr="00864A7C" w:rsidRDefault="0050463B" w:rsidP="00B841AD"/>
    <w:p w:rsidR="0050463B" w:rsidRPr="00864A7C" w:rsidRDefault="0050463B" w:rsidP="00910520">
      <w:pPr>
        <w:rPr>
          <w:rFonts w:cs="Arial"/>
          <w:b/>
          <w:color w:val="006FB2"/>
          <w:sz w:val="28"/>
          <w:szCs w:val="28"/>
        </w:rPr>
      </w:pPr>
    </w:p>
    <w:sectPr w:rsidR="0050463B" w:rsidRPr="00864A7C" w:rsidSect="00B841AD">
      <w:headerReference w:type="default" r:id="rId7"/>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0E" w:rsidRDefault="0097600E" w:rsidP="00602203">
      <w:pPr>
        <w:spacing w:after="0" w:line="240" w:lineRule="auto"/>
      </w:pPr>
      <w:r>
        <w:separator/>
      </w:r>
    </w:p>
  </w:endnote>
  <w:endnote w:type="continuationSeparator" w:id="0">
    <w:p w:rsidR="0097600E" w:rsidRDefault="0097600E" w:rsidP="0060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63B" w:rsidRDefault="0050463B" w:rsidP="008E2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63B" w:rsidRDefault="00504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63B" w:rsidRDefault="0050463B" w:rsidP="008E2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90E">
      <w:rPr>
        <w:rStyle w:val="PageNumber"/>
        <w:noProof/>
      </w:rPr>
      <w:t>1</w:t>
    </w:r>
    <w:r>
      <w:rPr>
        <w:rStyle w:val="PageNumber"/>
      </w:rPr>
      <w:fldChar w:fldCharType="end"/>
    </w:r>
  </w:p>
  <w:p w:rsidR="0050463B" w:rsidRDefault="00504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0E" w:rsidRDefault="0097600E" w:rsidP="00602203">
      <w:pPr>
        <w:spacing w:after="0" w:line="240" w:lineRule="auto"/>
      </w:pPr>
      <w:r>
        <w:separator/>
      </w:r>
    </w:p>
  </w:footnote>
  <w:footnote w:type="continuationSeparator" w:id="0">
    <w:p w:rsidR="0097600E" w:rsidRDefault="0097600E" w:rsidP="00602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63B" w:rsidRDefault="0097290E">
    <w:pPr>
      <w:pStyle w:val="Header"/>
    </w:pPr>
    <w:r>
      <w:rPr>
        <w:noProof/>
        <w:lang w:eastAsia="en-GB"/>
      </w:rPr>
      <w:drawing>
        <wp:anchor distT="0" distB="0" distL="114300" distR="114300" simplePos="0" relativeHeight="251660288" behindDoc="0" locked="0" layoutInCell="1" allowOverlap="1">
          <wp:simplePos x="0" y="0"/>
          <wp:positionH relativeFrom="column">
            <wp:posOffset>4448175</wp:posOffset>
          </wp:positionH>
          <wp:positionV relativeFrom="paragraph">
            <wp:posOffset>-175260</wp:posOffset>
          </wp:positionV>
          <wp:extent cx="1856740" cy="543560"/>
          <wp:effectExtent l="0" t="0" r="0" b="0"/>
          <wp:wrapNone/>
          <wp:docPr id="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740" cy="543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margin">
            <wp:posOffset>-509905</wp:posOffset>
          </wp:positionH>
          <wp:positionV relativeFrom="margin">
            <wp:posOffset>-732155</wp:posOffset>
          </wp:positionV>
          <wp:extent cx="2104390" cy="650240"/>
          <wp:effectExtent l="0" t="0" r="0" b="0"/>
          <wp:wrapSquare wrapText="bothSides"/>
          <wp:docPr id="2" name="Picture 1" descr="UNICA Blu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A Blue_horizont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4390" cy="650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margin">
            <wp:posOffset>2056765</wp:posOffset>
          </wp:positionH>
          <wp:positionV relativeFrom="margin">
            <wp:posOffset>-848995</wp:posOffset>
          </wp:positionV>
          <wp:extent cx="1844040" cy="716280"/>
          <wp:effectExtent l="0" t="0" r="0" b="0"/>
          <wp:wrapSquare wrapText="bothSides"/>
          <wp:docPr id="3" name="Picture 3" descr="Uzdoc_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doc_without background.png"/>
                  <pic:cNvPicPr>
                    <a:picLocks noChangeAspect="1" noChangeArrowheads="1"/>
                  </pic:cNvPicPr>
                </pic:nvPicPr>
                <pic:blipFill>
                  <a:blip r:embed="rId3">
                    <a:extLst>
                      <a:ext uri="{28A0092B-C50C-407E-A947-70E740481C1C}">
                        <a14:useLocalDpi xmlns:a14="http://schemas.microsoft.com/office/drawing/2010/main" val="0"/>
                      </a:ext>
                    </a:extLst>
                  </a:blip>
                  <a:srcRect t="27954" b="33333"/>
                  <a:stretch>
                    <a:fillRect/>
                  </a:stretch>
                </pic:blipFill>
                <pic:spPr bwMode="auto">
                  <a:xfrm>
                    <a:off x="0" y="0"/>
                    <a:ext cx="1844040"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66F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33650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7B2DF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F546F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2C0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4FF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64E5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6048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422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A0C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10686"/>
    <w:multiLevelType w:val="hybridMultilevel"/>
    <w:tmpl w:val="D172A82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869175B"/>
    <w:multiLevelType w:val="hybridMultilevel"/>
    <w:tmpl w:val="60B0AE70"/>
    <w:lvl w:ilvl="0" w:tplc="81F40FC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011A40"/>
    <w:multiLevelType w:val="hybridMultilevel"/>
    <w:tmpl w:val="254665C0"/>
    <w:lvl w:ilvl="0" w:tplc="33C0ACAE">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BB23E41"/>
    <w:multiLevelType w:val="hybridMultilevel"/>
    <w:tmpl w:val="0CD80930"/>
    <w:lvl w:ilvl="0" w:tplc="81F40FC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03"/>
    <w:rsid w:val="00000340"/>
    <w:rsid w:val="000028C2"/>
    <w:rsid w:val="000305DC"/>
    <w:rsid w:val="00042E32"/>
    <w:rsid w:val="000500E4"/>
    <w:rsid w:val="00050294"/>
    <w:rsid w:val="000557CC"/>
    <w:rsid w:val="00070846"/>
    <w:rsid w:val="000C24BE"/>
    <w:rsid w:val="000E03AF"/>
    <w:rsid w:val="001016A3"/>
    <w:rsid w:val="001422AA"/>
    <w:rsid w:val="001D43B0"/>
    <w:rsid w:val="001E6795"/>
    <w:rsid w:val="001F2F28"/>
    <w:rsid w:val="001F5A6E"/>
    <w:rsid w:val="00205B32"/>
    <w:rsid w:val="00280985"/>
    <w:rsid w:val="00292E0A"/>
    <w:rsid w:val="002B2937"/>
    <w:rsid w:val="002C7BDF"/>
    <w:rsid w:val="002F2685"/>
    <w:rsid w:val="00361A62"/>
    <w:rsid w:val="00362EF0"/>
    <w:rsid w:val="00393708"/>
    <w:rsid w:val="003B3F03"/>
    <w:rsid w:val="003E268B"/>
    <w:rsid w:val="003F425A"/>
    <w:rsid w:val="003F5D30"/>
    <w:rsid w:val="00401606"/>
    <w:rsid w:val="00444F19"/>
    <w:rsid w:val="00447436"/>
    <w:rsid w:val="00464274"/>
    <w:rsid w:val="00485EA2"/>
    <w:rsid w:val="004D1A89"/>
    <w:rsid w:val="004E752F"/>
    <w:rsid w:val="004F5261"/>
    <w:rsid w:val="0050463B"/>
    <w:rsid w:val="00515188"/>
    <w:rsid w:val="00533EF8"/>
    <w:rsid w:val="00535EC3"/>
    <w:rsid w:val="0056094B"/>
    <w:rsid w:val="005622E9"/>
    <w:rsid w:val="005802C8"/>
    <w:rsid w:val="005912C6"/>
    <w:rsid w:val="005C446A"/>
    <w:rsid w:val="005C4B6D"/>
    <w:rsid w:val="005D0568"/>
    <w:rsid w:val="005F4641"/>
    <w:rsid w:val="00602203"/>
    <w:rsid w:val="00621AB0"/>
    <w:rsid w:val="006361FF"/>
    <w:rsid w:val="00636C8B"/>
    <w:rsid w:val="00667480"/>
    <w:rsid w:val="00680C35"/>
    <w:rsid w:val="006A1476"/>
    <w:rsid w:val="006A1BF2"/>
    <w:rsid w:val="006A66B5"/>
    <w:rsid w:val="006B3920"/>
    <w:rsid w:val="006C6A95"/>
    <w:rsid w:val="006F4E74"/>
    <w:rsid w:val="0072375D"/>
    <w:rsid w:val="007267A5"/>
    <w:rsid w:val="00726CB3"/>
    <w:rsid w:val="007671DF"/>
    <w:rsid w:val="00785BCD"/>
    <w:rsid w:val="00796C79"/>
    <w:rsid w:val="007A0623"/>
    <w:rsid w:val="007A5CEF"/>
    <w:rsid w:val="007B155E"/>
    <w:rsid w:val="007B6B3B"/>
    <w:rsid w:val="007C23EC"/>
    <w:rsid w:val="007C784B"/>
    <w:rsid w:val="007D25F5"/>
    <w:rsid w:val="007D4AA0"/>
    <w:rsid w:val="008115BA"/>
    <w:rsid w:val="00820D85"/>
    <w:rsid w:val="00827016"/>
    <w:rsid w:val="00845C7E"/>
    <w:rsid w:val="00861850"/>
    <w:rsid w:val="00862567"/>
    <w:rsid w:val="00864A7C"/>
    <w:rsid w:val="00876544"/>
    <w:rsid w:val="00882839"/>
    <w:rsid w:val="00885939"/>
    <w:rsid w:val="008E2D92"/>
    <w:rsid w:val="00910520"/>
    <w:rsid w:val="00920878"/>
    <w:rsid w:val="00936F41"/>
    <w:rsid w:val="00937815"/>
    <w:rsid w:val="00955CE6"/>
    <w:rsid w:val="0097290E"/>
    <w:rsid w:val="0097600E"/>
    <w:rsid w:val="009A36B6"/>
    <w:rsid w:val="009C0E7F"/>
    <w:rsid w:val="009D5F60"/>
    <w:rsid w:val="009E6BD3"/>
    <w:rsid w:val="00A02510"/>
    <w:rsid w:val="00A31E9E"/>
    <w:rsid w:val="00A82BF1"/>
    <w:rsid w:val="00AD3251"/>
    <w:rsid w:val="00AD528F"/>
    <w:rsid w:val="00AD6173"/>
    <w:rsid w:val="00AE132C"/>
    <w:rsid w:val="00B0010A"/>
    <w:rsid w:val="00B12BCA"/>
    <w:rsid w:val="00B4120C"/>
    <w:rsid w:val="00B50944"/>
    <w:rsid w:val="00B6140F"/>
    <w:rsid w:val="00B64935"/>
    <w:rsid w:val="00B841AD"/>
    <w:rsid w:val="00B8632E"/>
    <w:rsid w:val="00B9199D"/>
    <w:rsid w:val="00BA000E"/>
    <w:rsid w:val="00BC0342"/>
    <w:rsid w:val="00BC2CD8"/>
    <w:rsid w:val="00BC3C7C"/>
    <w:rsid w:val="00BF2536"/>
    <w:rsid w:val="00C02623"/>
    <w:rsid w:val="00C30A58"/>
    <w:rsid w:val="00C460D4"/>
    <w:rsid w:val="00C55DE7"/>
    <w:rsid w:val="00C860A0"/>
    <w:rsid w:val="00C87828"/>
    <w:rsid w:val="00CA2DA3"/>
    <w:rsid w:val="00CB134D"/>
    <w:rsid w:val="00CC43C7"/>
    <w:rsid w:val="00CD27C4"/>
    <w:rsid w:val="00CE0C51"/>
    <w:rsid w:val="00CF69B2"/>
    <w:rsid w:val="00D23AEA"/>
    <w:rsid w:val="00D33B31"/>
    <w:rsid w:val="00D8747A"/>
    <w:rsid w:val="00DA670D"/>
    <w:rsid w:val="00E018D2"/>
    <w:rsid w:val="00E04F64"/>
    <w:rsid w:val="00E06EBB"/>
    <w:rsid w:val="00E24D71"/>
    <w:rsid w:val="00E35EAF"/>
    <w:rsid w:val="00E41B58"/>
    <w:rsid w:val="00E504B4"/>
    <w:rsid w:val="00E830E2"/>
    <w:rsid w:val="00E84541"/>
    <w:rsid w:val="00ED0916"/>
    <w:rsid w:val="00EF02DB"/>
    <w:rsid w:val="00EF12C5"/>
    <w:rsid w:val="00F00B78"/>
    <w:rsid w:val="00F01AF6"/>
    <w:rsid w:val="00F060EC"/>
    <w:rsid w:val="00F42512"/>
    <w:rsid w:val="00FC68D8"/>
    <w:rsid w:val="00FE5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4CAD8CF4-FAD6-44FE-9C7F-4A40DF7E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2203"/>
    <w:pPr>
      <w:spacing w:after="160" w:line="25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RTSETStandardTextZchn">
    <w:name w:val="SMARTSET Standard Text Zchn"/>
    <w:link w:val="SMARTSETStandardText"/>
    <w:uiPriority w:val="99"/>
    <w:locked/>
    <w:rsid w:val="00602203"/>
    <w:rPr>
      <w:rFonts w:ascii="Calibri" w:hAnsi="Calibri"/>
      <w:snapToGrid w:val="0"/>
      <w:color w:val="000000"/>
      <w:lang w:val="de-DE"/>
    </w:rPr>
  </w:style>
  <w:style w:type="paragraph" w:customStyle="1" w:styleId="SMARTSETStandardText">
    <w:name w:val="SMARTSET Standard Text"/>
    <w:basedOn w:val="Normal"/>
    <w:link w:val="SMARTSETStandardTextZchn"/>
    <w:uiPriority w:val="99"/>
    <w:rsid w:val="00602203"/>
    <w:pPr>
      <w:snapToGrid w:val="0"/>
      <w:spacing w:after="0" w:line="264" w:lineRule="auto"/>
      <w:jc w:val="both"/>
    </w:pPr>
    <w:rPr>
      <w:color w:val="000000"/>
      <w:sz w:val="20"/>
      <w:szCs w:val="20"/>
      <w:lang w:val="de-DE" w:eastAsia="hu-HU"/>
    </w:rPr>
  </w:style>
  <w:style w:type="character" w:customStyle="1" w:styleId="SMARTSETTableZchn">
    <w:name w:val="SMARTSET Table Zchn"/>
    <w:link w:val="SMARTSETTable"/>
    <w:uiPriority w:val="99"/>
    <w:locked/>
    <w:rsid w:val="00602203"/>
    <w:rPr>
      <w:rFonts w:ascii="Calibri" w:hAnsi="Calibri"/>
      <w:snapToGrid w:val="0"/>
      <w:color w:val="000000"/>
      <w:kern w:val="8"/>
      <w:sz w:val="20"/>
    </w:rPr>
  </w:style>
  <w:style w:type="paragraph" w:customStyle="1" w:styleId="SMARTSETTable">
    <w:name w:val="SMARTSET Table"/>
    <w:basedOn w:val="Normal"/>
    <w:link w:val="SMARTSETTableZchn"/>
    <w:uiPriority w:val="99"/>
    <w:rsid w:val="00602203"/>
    <w:pPr>
      <w:snapToGrid w:val="0"/>
      <w:spacing w:after="0" w:line="264" w:lineRule="auto"/>
      <w:jc w:val="both"/>
    </w:pPr>
    <w:rPr>
      <w:color w:val="000000"/>
      <w:kern w:val="8"/>
      <w:sz w:val="20"/>
      <w:szCs w:val="20"/>
      <w:lang w:val="hu-HU" w:eastAsia="hu-HU"/>
    </w:rPr>
  </w:style>
  <w:style w:type="paragraph" w:customStyle="1" w:styleId="NoSpacing1">
    <w:name w:val="No Spacing1"/>
    <w:uiPriority w:val="99"/>
    <w:rsid w:val="00602203"/>
    <w:rPr>
      <w:rFonts w:ascii="Times New Roman" w:eastAsia="Times New Roman" w:hAnsi="Times New Roman"/>
      <w:sz w:val="24"/>
      <w:szCs w:val="24"/>
      <w:lang w:val="en-GB" w:eastAsia="en-GB"/>
    </w:rPr>
  </w:style>
  <w:style w:type="table" w:styleId="TableGrid">
    <w:name w:val="Table Grid"/>
    <w:basedOn w:val="TableNormal"/>
    <w:uiPriority w:val="99"/>
    <w:rsid w:val="00602203"/>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60220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02203"/>
    <w:rPr>
      <w:rFonts w:cs="Times New Roman"/>
      <w:lang w:val="en-GB"/>
    </w:rPr>
  </w:style>
  <w:style w:type="paragraph" w:styleId="Footer">
    <w:name w:val="footer"/>
    <w:basedOn w:val="Normal"/>
    <w:link w:val="FooterChar"/>
    <w:uiPriority w:val="99"/>
    <w:semiHidden/>
    <w:rsid w:val="0060220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602203"/>
    <w:rPr>
      <w:rFonts w:cs="Times New Roman"/>
      <w:lang w:val="en-GB"/>
    </w:rPr>
  </w:style>
  <w:style w:type="paragraph" w:styleId="BalloonText">
    <w:name w:val="Balloon Text"/>
    <w:basedOn w:val="Normal"/>
    <w:link w:val="BalloonTextChar"/>
    <w:uiPriority w:val="99"/>
    <w:semiHidden/>
    <w:rsid w:val="0060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203"/>
    <w:rPr>
      <w:rFonts w:ascii="Tahoma" w:hAnsi="Tahoma" w:cs="Tahoma"/>
      <w:sz w:val="16"/>
      <w:szCs w:val="16"/>
      <w:lang w:val="en-GB"/>
    </w:rPr>
  </w:style>
  <w:style w:type="character" w:styleId="PageNumber">
    <w:name w:val="page number"/>
    <w:basedOn w:val="DefaultParagraphFont"/>
    <w:uiPriority w:val="99"/>
    <w:rsid w:val="00910520"/>
    <w:rPr>
      <w:rFonts w:cs="Times New Roman"/>
    </w:rPr>
  </w:style>
  <w:style w:type="character" w:styleId="CommentReference">
    <w:name w:val="annotation reference"/>
    <w:basedOn w:val="DefaultParagraphFont"/>
    <w:uiPriority w:val="99"/>
    <w:semiHidden/>
    <w:rsid w:val="00B841AD"/>
    <w:rPr>
      <w:rFonts w:cs="Times New Roman"/>
      <w:sz w:val="16"/>
      <w:szCs w:val="16"/>
    </w:rPr>
  </w:style>
  <w:style w:type="paragraph" w:styleId="CommentText">
    <w:name w:val="annotation text"/>
    <w:basedOn w:val="Normal"/>
    <w:link w:val="CommentTextChar"/>
    <w:uiPriority w:val="99"/>
    <w:semiHidden/>
    <w:rsid w:val="00B841AD"/>
    <w:pPr>
      <w:spacing w:after="0" w:line="240" w:lineRule="auto"/>
    </w:pPr>
    <w:rPr>
      <w:rFonts w:ascii="Times New Roman" w:hAnsi="Times New Roman"/>
      <w:sz w:val="20"/>
      <w:szCs w:val="20"/>
      <w:lang w:eastAsia="hu-HU"/>
    </w:rPr>
  </w:style>
  <w:style w:type="character" w:customStyle="1" w:styleId="CommentTextChar">
    <w:name w:val="Comment Text Char"/>
    <w:basedOn w:val="DefaultParagraphFont"/>
    <w:link w:val="CommentText"/>
    <w:uiPriority w:val="99"/>
    <w:semiHidden/>
    <w:locked/>
    <w:rsid w:val="00485EA2"/>
    <w:rPr>
      <w:rFonts w:cs="Times New Roman"/>
      <w:sz w:val="20"/>
      <w:szCs w:val="20"/>
      <w:lang w:val="en-GB" w:eastAsia="en-US"/>
    </w:rPr>
  </w:style>
  <w:style w:type="paragraph" w:customStyle="1" w:styleId="Default">
    <w:name w:val="Default"/>
    <w:uiPriority w:val="99"/>
    <w:rsid w:val="00BC2CD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12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Updated list of UZDOC 2</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list of UZDOC 2</dc:title>
  <dc:subject/>
  <dc:creator>Marta BW</dc:creator>
  <cp:keywords/>
  <dc:description/>
  <cp:lastModifiedBy>UNICA-Comms</cp:lastModifiedBy>
  <cp:revision>2</cp:revision>
  <dcterms:created xsi:type="dcterms:W3CDTF">2018-09-25T08:11:00Z</dcterms:created>
  <dcterms:modified xsi:type="dcterms:W3CDTF">2018-09-25T08:11:00Z</dcterms:modified>
</cp:coreProperties>
</file>